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CA" w:rsidRDefault="009078CA" w:rsidP="009078CA">
      <w:pPr>
        <w:widowControl/>
        <w:shd w:val="clear" w:color="auto" w:fill="C2D69B" w:themeFill="accent3" w:themeFillTint="99"/>
        <w:suppressAutoHyphens w:val="0"/>
        <w:jc w:val="both"/>
        <w:rPr>
          <w:rFonts w:ascii="Arial" w:hAnsi="Arial" w:cs="Arial"/>
          <w:b/>
          <w:caps/>
          <w:color w:val="000000" w:themeColor="text1"/>
          <w:shd w:val="clear" w:color="auto" w:fill="C2D69B" w:themeFill="accent3" w:themeFillTint="99"/>
        </w:rPr>
      </w:pPr>
      <w:r w:rsidRPr="009C4B6E">
        <w:rPr>
          <w:rFonts w:ascii="Arial" w:eastAsia="Times New Roman" w:hAnsi="Arial" w:cs="Arial"/>
          <w:b/>
          <w:caps/>
          <w:color w:val="000000" w:themeColor="text1"/>
          <w:shd w:val="clear" w:color="auto" w:fill="C2D69B" w:themeFill="accent3" w:themeFillTint="99"/>
          <w:lang w:eastAsia="pt-BR"/>
        </w:rPr>
        <w:t xml:space="preserve">5. </w:t>
      </w:r>
      <w:r w:rsidRPr="009C4B6E">
        <w:rPr>
          <w:rFonts w:ascii="Arial" w:hAnsi="Arial" w:cs="Arial"/>
          <w:b/>
          <w:caps/>
          <w:color w:val="000000" w:themeColor="text1"/>
          <w:shd w:val="clear" w:color="auto" w:fill="C2D69B" w:themeFill="accent3" w:themeFillTint="99"/>
        </w:rPr>
        <w:t>Jurisprudência</w:t>
      </w:r>
    </w:p>
    <w:p w:rsidR="008A7BC4" w:rsidRPr="003672CB" w:rsidRDefault="008A7BC4" w:rsidP="009078CA">
      <w:pPr>
        <w:widowControl/>
        <w:shd w:val="clear" w:color="auto" w:fill="C2D69B" w:themeFill="accent3" w:themeFillTint="99"/>
        <w:suppressAutoHyphens w:val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9078CA" w:rsidRPr="003672CB" w:rsidRDefault="009078CA" w:rsidP="009078CA">
      <w:pPr>
        <w:pStyle w:val="NormalWeb"/>
        <w:shd w:val="clear" w:color="auto" w:fill="D6E3BC" w:themeFill="accent3" w:themeFillTint="66"/>
        <w:spacing w:after="0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3672CB">
        <w:rPr>
          <w:rFonts w:ascii="Arial" w:hAnsi="Arial" w:cs="Arial"/>
          <w:b/>
          <w:color w:val="000000" w:themeColor="text1"/>
        </w:rPr>
        <w:t>5.2. ACESSIBILIDADE:</w:t>
      </w: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 xml:space="preserve">Ementa: 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AGRAVO REGIMENTAL EM RECURSO EXTRAORDINÁRIO COM AGRAVO. INTERPOSIÇÃO EM 14.7.2017. AÇÃO CIVIL PÚBLICA. PESSOAS COM  </w:t>
      </w:r>
      <w:r w:rsidRPr="003672CB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lang w:eastAsia="pt-BR" w:bidi="ar-SA"/>
        </w:rPr>
        <w:t>MOBILIDADE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  REDUZIDA. ACESSO À ESCOLA PÚBLICA. NECESSIDADE DE ADAPTAÇÕES NO AMBIENTE ESCOLAR. PREVISÃO EM LEGISLAÇÃO ESTADUAL (LEI 11.666/1994). OBRIGAÇÃO DE FAZER. SEPARAÇÃO DE PODERES. INEXISTÊ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CIA DE OFENSA. 1. 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 xml:space="preserve">É firme o entendimento deste Tribunal de que o Poder Judiciário pode, sem que fique configurada violação ao princípio da separação de Poderes, determinar a </w:t>
      </w:r>
      <w:proofErr w:type="gramStart"/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implementação</w:t>
      </w:r>
      <w:proofErr w:type="gramEnd"/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 xml:space="preserve"> de políticas públicas assecuratórias de direitos const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tucionalmente reconhecidos como essenciais.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2. Agravo regimental a que se nega provimento, com previsão de aplicação da multa prevista no art. 1.021, § 4º, do CPC. In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plicável o artigo 85, § 11, CPC, por se tratar de recurso oriundo de ação civil pública. (</w:t>
      </w:r>
      <w:hyperlink r:id="rId5">
        <w:r w:rsidRPr="003672CB">
          <w:rPr>
            <w:rFonts w:ascii="Arial" w:eastAsia="Times New Roman" w:hAnsi="Arial" w:cs="Arial"/>
            <w:color w:val="000000" w:themeColor="text1"/>
            <w:kern w:val="0"/>
            <w:u w:val="single"/>
            <w:lang w:eastAsia="pt-BR" w:bidi="ar-SA"/>
          </w:rPr>
          <w:t xml:space="preserve">ARE 1045038 </w:t>
        </w:r>
        <w:proofErr w:type="spellStart"/>
        <w:proofErr w:type="gramStart"/>
        <w:r w:rsidRPr="003672CB">
          <w:rPr>
            <w:rFonts w:ascii="Arial" w:eastAsia="Times New Roman" w:hAnsi="Arial" w:cs="Arial"/>
            <w:color w:val="000000" w:themeColor="text1"/>
            <w:kern w:val="0"/>
            <w:u w:val="single"/>
            <w:lang w:eastAsia="pt-BR" w:bidi="ar-SA"/>
          </w:rPr>
          <w:t>AgR</w:t>
        </w:r>
        <w:proofErr w:type="spellEnd"/>
        <w:proofErr w:type="gramEnd"/>
      </w:hyperlink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, Órgão julgador: Segunda </w:t>
      </w:r>
      <w:proofErr w:type="spell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Turma,Relator</w:t>
      </w:r>
      <w:proofErr w:type="spell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(a): Min. EDSON FACHIN, Julgamento: 10/08/2018, Publicação: 21/08/2018)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CIVIL. RECURSO ESPECIAL. AÇÃO DE COMPENSAÇÃO POR DANOS M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O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RAIS. PESSOA COM DEFICIÊNCIA FÍSICA. USUÁRIO DE CADEIRA DE RODAS. 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F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LHA NA PRESTAÇÃO DOS SERVIÇOS. EVENTO. FALTA DE ACESSIBILIDADE.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F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TO EXCLUSIVO DE TERCEIRO. INEXISTÊNCIA. JULGAMENTO: CPC/2015.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1. Ação ajuizada em 19/11/2018, da qual foi extraído o presente recurso especial interposto em 12/03/2020 e concluso ao gabinete em 09/12/2020.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2. O propósito recursal é definir se, na hipótese, está caracterizado fato exclusivo de terceiro apto a ilidir a responsabilidade da recorrente pelos danos morais vivenciados pelo recorrido.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3. A Convenção Internacional sobre os Direitos das Pessoas com Deficiência alçou a acessibilidade a princípio geral a ser observado pelos Estados Partes, atribuindo-lhe, também, o caráter de direito humano fundamental, sempre alinhado à visão de que a def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ciência não é problema na pessoa a ser curado, mas um problema na sociedade, que 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m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põe barreiras que limitam ou até mesmo impedem o pleno desempenho dos papéis soc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ais.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4. A 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Lei 13.146/2015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define a acessibilidade como "possibilidade e condição de 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l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cance para utilização, com segurança e autonomia, de espaços, mobiliários, equipame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tos urbanos, edificações, transportes, informação e comunicação, inclusive seus sistemas e tecnologias, bem como de outros serviços e instalações abertos ao público, de uso p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ú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blico ou privados de uso coletivo, tanto na zona urbana como na rural, por pessoa com deficiência ou com mobilidade reduzida" (art. 3º, I). E mais, dispõe expressamente tratar-se a acessibilidade um direito da pessoa com deficiência, que visa garantir ao indivíduo "viver de forma independente e exercer seus direitos de cidadania e de participação soc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al" (art. 53).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5. Para o surgimento do dever de indenizar, é indispensável que haja um liame de causalidade entre a conduta do agente e o resultado danoso. Nessa linha, caso verificado o fato exclusivo de terceiro, haverá o rompimento do nexo causal entre o prejuízo e aqu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le a quem se atribui a autoria (art. 14, § 3º, II, do CDC). Mas, para a aplicação dessa 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x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cludente de responsabilidade, o terceiro 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lastRenderedPageBreak/>
        <w:t>não pode guardar relação com o fornecedor. Ou seja, o conceito de terceiro restringe-se às pessoas que não integram a cadeia de cons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u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mo.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6. Na hipótese, o recorrido adquiriu ingressos para assistir ao show do camarote </w:t>
      </w:r>
      <w:proofErr w:type="spellStart"/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premium</w:t>
      </w:r>
      <w:proofErr w:type="spellEnd"/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. Embora esse espaço, em específico, tenha sido explorado por empresas estr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nhas à lide, tal circunstância não se caracteriza como fato exclusivo de terceiro. Isso po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que, a recorrente e as demais empresas que atuaram na organização e administração da festividade e da estrutura do local integram a mesma cadeia de fornecimento e, portanto, são solidariamente responsáveis pelos danos suportados pelo recorrido em virtude das falhas na prestação dos serviços.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7. 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É dever de todos os fornecedores da cadeia de consumo zelar pela disp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o</w:t>
      </w: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lang w:eastAsia="pt-BR" w:bidi="ar-SA"/>
        </w:rPr>
        <w:t>nibilização de condições</w:t>
      </w:r>
    </w:p>
    <w:p w:rsidR="009078CA" w:rsidRPr="003672CB" w:rsidRDefault="009078CA" w:rsidP="009078CA">
      <w:pPr>
        <w:pStyle w:val="Pr-formataoHTML"/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2CB">
        <w:rPr>
          <w:rFonts w:ascii="Arial" w:hAnsi="Arial" w:cs="Arial"/>
          <w:b/>
          <w:bCs/>
          <w:color w:val="000000" w:themeColor="text1"/>
          <w:sz w:val="24"/>
          <w:szCs w:val="24"/>
        </w:rPr>
        <w:t>Ementa: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 ADMINISTRATIVO. AÇÃO CIVIL PÚBLICA. </w:t>
      </w:r>
      <w:r w:rsidRPr="003672CB">
        <w:rPr>
          <w:rFonts w:ascii="Arial" w:hAnsi="Arial" w:cs="Arial"/>
          <w:b/>
          <w:bCs/>
          <w:color w:val="000000" w:themeColor="text1"/>
          <w:sz w:val="24"/>
          <w:szCs w:val="24"/>
        </w:rPr>
        <w:t>ACESSIBILIDADE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 DE D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E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FICIENTES FÍSICOS. ASTREINTES. SÚMULA 7/STJ. RECURSO ESPECIAL NÃO PROVIDO. 1. Cuida-se, na origem, de Ação Civil Pública ajuizada pelo Ministério Público do Estado de São Paulo contra a Prefeitura Municipal de Santos, objetivando a conden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a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ção da ré à obrigação de fazer consistente em adequar as calçadas do Bairro do </w:t>
      </w:r>
      <w:proofErr w:type="spellStart"/>
      <w:r w:rsidRPr="003672CB">
        <w:rPr>
          <w:rFonts w:ascii="Arial" w:hAnsi="Arial" w:cs="Arial"/>
          <w:color w:val="000000" w:themeColor="text1"/>
          <w:sz w:val="24"/>
          <w:szCs w:val="24"/>
        </w:rPr>
        <w:t>Emba</w:t>
      </w:r>
      <w:proofErr w:type="spellEnd"/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 às normas da NBR 9050 - ABNT, a fim de garantir a plena </w:t>
      </w:r>
      <w:r w:rsidRPr="003672CB">
        <w:rPr>
          <w:rFonts w:ascii="Arial" w:hAnsi="Arial" w:cs="Arial"/>
          <w:b/>
          <w:bCs/>
          <w:color w:val="000000" w:themeColor="text1"/>
          <w:sz w:val="24"/>
          <w:szCs w:val="24"/>
        </w:rPr>
        <w:t>acessibilidade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 aos portadores de deficiência. 2. O Juiz de 1º Grau julgou parcialmente procedente a ação, para o fim de condenar a Municipalidade a proceder ao rebaixamento das guias em todos os cruzame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n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tos das vinte vias públicas eleitas pela administração para serem pavimentadas no ch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a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mado "programa de </w:t>
      </w:r>
      <w:proofErr w:type="spellStart"/>
      <w:r w:rsidRPr="003672CB">
        <w:rPr>
          <w:rFonts w:ascii="Arial" w:hAnsi="Arial" w:cs="Arial"/>
          <w:color w:val="000000" w:themeColor="text1"/>
          <w:sz w:val="24"/>
          <w:szCs w:val="24"/>
        </w:rPr>
        <w:t>repavimentação</w:t>
      </w:r>
      <w:proofErr w:type="spellEnd"/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 das ruas do - </w:t>
      </w:r>
      <w:proofErr w:type="spellStart"/>
      <w:r w:rsidRPr="003672CB">
        <w:rPr>
          <w:rFonts w:ascii="Arial" w:hAnsi="Arial" w:cs="Arial"/>
          <w:color w:val="000000" w:themeColor="text1"/>
          <w:sz w:val="24"/>
          <w:szCs w:val="24"/>
        </w:rPr>
        <w:t>Embaré</w:t>
      </w:r>
      <w:proofErr w:type="spellEnd"/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", adotando-se os ditames da NBR9050 - ABNT, no prazo de </w:t>
      </w:r>
      <w:proofErr w:type="gramStart"/>
      <w:r w:rsidRPr="003672CB">
        <w:rPr>
          <w:rFonts w:ascii="Arial" w:hAnsi="Arial" w:cs="Arial"/>
          <w:color w:val="000000" w:themeColor="text1"/>
          <w:sz w:val="24"/>
          <w:szCs w:val="24"/>
        </w:rPr>
        <w:t>6</w:t>
      </w:r>
      <w:proofErr w:type="gramEnd"/>
      <w:r w:rsidRPr="003672CB">
        <w:rPr>
          <w:rFonts w:ascii="Arial" w:hAnsi="Arial" w:cs="Arial"/>
          <w:color w:val="000000" w:themeColor="text1"/>
          <w:sz w:val="24"/>
          <w:szCs w:val="24"/>
        </w:rPr>
        <w:t xml:space="preserve"> meses, sob pena de multa diária de R$ 1.000,00. 3. O Tribunal a quo assim consignou: "Na realidade, almeja-se na </w:t>
      </w:r>
      <w:r w:rsidRPr="003672CB">
        <w:rPr>
          <w:rFonts w:ascii="Arial" w:hAnsi="Arial" w:cs="Arial"/>
          <w:color w:val="000000" w:themeColor="text1"/>
          <w:sz w:val="24"/>
          <w:szCs w:val="24"/>
          <w:lang w:eastAsia="pt-BR"/>
        </w:rPr>
        <w:t>presente ação apenas que as ruas já escolhidas e reformadas pela Municipalidade tenham suas calçadas rebaixadas para a circulação dos portadores de deficiência, de acordo com as normas da NBR 9050, por expressa determinação da lei, cuja obediência não se encontra no âmbito de discric</w:t>
      </w:r>
      <w:r w:rsidRPr="003672CB">
        <w:rPr>
          <w:rFonts w:ascii="Arial" w:hAnsi="Arial" w:cs="Arial"/>
          <w:color w:val="000000" w:themeColor="text1"/>
          <w:sz w:val="24"/>
          <w:szCs w:val="24"/>
          <w:lang w:eastAsia="pt-BR"/>
        </w:rPr>
        <w:t>i</w:t>
      </w:r>
      <w:r w:rsidRPr="003672CB">
        <w:rPr>
          <w:rFonts w:ascii="Arial" w:hAnsi="Arial" w:cs="Arial"/>
          <w:color w:val="000000" w:themeColor="text1"/>
          <w:sz w:val="24"/>
          <w:szCs w:val="24"/>
          <w:lang w:eastAsia="pt-BR"/>
        </w:rPr>
        <w:t>onariedade do administrador. Sendo assim, na hipótese em apreço, correta a solução adotada pelo magistrado sentenciante, não se configurando qualquer intromissão indevida do Judiciário.</w:t>
      </w:r>
      <w:proofErr w:type="gramStart"/>
      <w:r w:rsidRPr="003672CB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"</w:t>
      </w:r>
      <w:proofErr w:type="gramEnd"/>
      <w:r w:rsidRPr="003672CB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(fl. 176, grifo acrescentado). 4. Recurso Especial não provido. (</w:t>
      </w:r>
      <w:proofErr w:type="spellStart"/>
      <w:proofErr w:type="gramStart"/>
      <w:r w:rsidRPr="003672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REsp</w:t>
      </w:r>
      <w:proofErr w:type="spellEnd"/>
      <w:proofErr w:type="gramEnd"/>
      <w:r w:rsidRPr="003672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1320356 / SP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-</w:t>
      </w:r>
      <w:r w:rsidRPr="003672C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RECURSO ESPECIAL 2012/0029067-9 / Relator: 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Ministro HERMAN BE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N</w:t>
      </w:r>
      <w:r w:rsidRPr="003672CB">
        <w:rPr>
          <w:rFonts w:ascii="Arial" w:hAnsi="Arial" w:cs="Arial"/>
          <w:color w:val="000000" w:themeColor="text1"/>
          <w:sz w:val="24"/>
          <w:szCs w:val="24"/>
        </w:rPr>
        <w:t>JAMIN / Data de Julgamento: 25/10/2016).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</w:p>
    <w:p w:rsidR="009078CA" w:rsidRPr="003672CB" w:rsidRDefault="009078CA" w:rsidP="009078CA">
      <w:pPr>
        <w:widowControl/>
        <w:pBdr>
          <w:bottom w:val="single" w:sz="6" w:space="1" w:color="000000"/>
        </w:pBdr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vanish/>
          <w:color w:val="000000" w:themeColor="text1"/>
          <w:kern w:val="0"/>
          <w:lang w:eastAsia="pt-BR" w:bidi="ar-SA"/>
        </w:rPr>
        <w:t>Parte superior do formulário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078CA" w:rsidRPr="003672CB" w:rsidTr="00F75F3E">
        <w:tc>
          <w:tcPr>
            <w:tcW w:w="9638" w:type="dxa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9078CA" w:rsidRPr="003672CB" w:rsidTr="00F75F3E">
              <w:tc>
                <w:tcPr>
                  <w:tcW w:w="9638" w:type="dxa"/>
                  <w:vAlign w:val="center"/>
                </w:tcPr>
                <w:p w:rsidR="009078CA" w:rsidRPr="003672CB" w:rsidRDefault="009078CA" w:rsidP="00F75F3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</w:pPr>
                </w:p>
              </w:tc>
            </w:tr>
            <w:tr w:rsidR="009078CA" w:rsidRPr="003672CB" w:rsidTr="00F75F3E">
              <w:tc>
                <w:tcPr>
                  <w:tcW w:w="9638" w:type="dxa"/>
                  <w:vAlign w:val="center"/>
                </w:tcPr>
                <w:p w:rsidR="009078CA" w:rsidRPr="003672CB" w:rsidRDefault="009078CA" w:rsidP="00F75F3E">
                  <w:pPr>
                    <w:widowControl/>
                    <w:suppressAutoHyphens w:val="0"/>
                    <w:jc w:val="both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</w:pPr>
                </w:p>
              </w:tc>
            </w:tr>
            <w:tr w:rsidR="009078CA" w:rsidRPr="003672CB" w:rsidTr="00F75F3E">
              <w:tc>
                <w:tcPr>
                  <w:tcW w:w="9638" w:type="dxa"/>
                  <w:vAlign w:val="center"/>
                </w:tcPr>
                <w:p w:rsidR="009078CA" w:rsidRPr="003672CB" w:rsidRDefault="009078CA" w:rsidP="00F75F3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</w:pPr>
                </w:p>
              </w:tc>
            </w:tr>
            <w:tr w:rsidR="009078CA" w:rsidRPr="003672CB" w:rsidTr="00F75F3E">
              <w:tc>
                <w:tcPr>
                  <w:tcW w:w="9638" w:type="dxa"/>
                  <w:vAlign w:val="center"/>
                </w:tcPr>
                <w:p w:rsidR="009078CA" w:rsidRPr="003672CB" w:rsidRDefault="009078CA" w:rsidP="00F75F3E">
                  <w:pPr>
                    <w:widowControl/>
                    <w:suppressAutoHyphens w:val="0"/>
                    <w:ind w:firstLine="709"/>
                    <w:jc w:val="both"/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</w:pP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hd w:val="clear" w:color="auto" w:fill="FFFFFF"/>
                      <w:lang w:eastAsia="pt-BR" w:bidi="ar-SA"/>
                    </w:rPr>
                    <w:t>Ementa:</w:t>
                  </w:r>
                  <w:r w:rsidRPr="003672CB">
                    <w:rPr>
                      <w:rFonts w:ascii="Arial" w:eastAsia="Times New Roman" w:hAnsi="Arial" w:cs="Arial"/>
                      <w:bCs/>
                      <w:color w:val="000000" w:themeColor="text1"/>
                      <w:kern w:val="0"/>
                      <w:shd w:val="clear" w:color="auto" w:fill="FFFFFF"/>
                      <w:lang w:eastAsia="pt-BR" w:bidi="ar-SA"/>
                    </w:rPr>
                    <w:t xml:space="preserve"> </w:t>
                  </w:r>
                  <w:r w:rsidRPr="003672CB">
                    <w:rPr>
                      <w:rFonts w:ascii="Arial" w:eastAsia="Times New Roman" w:hAnsi="Arial" w:cs="Arial"/>
                      <w:bCs/>
                      <w:color w:val="000000" w:themeColor="text1"/>
                      <w:kern w:val="0"/>
                      <w:lang w:eastAsia="pt-BR" w:bidi="ar-SA"/>
                    </w:rPr>
                    <w:t>AGRAVO DE INSTRUMENTO. AÇÃO CIVIL PÚBLICA. FALTA DE ACESSIBILIDADE NA FROTA DE ÔNIBUS DE CONCESSIONÁRIA PRESTADORA DE SERVIÇO DE TRANSPORTE MUNICIPAL DO MUNICÍPIO DE </w:t>
                  </w:r>
                  <w:r w:rsidRPr="003672CB">
                    <w:rPr>
                      <w:rFonts w:ascii="Arial" w:eastAsia="Times New Roman" w:hAnsi="Arial" w:cs="Arial"/>
                      <w:bCs/>
                      <w:color w:val="000000" w:themeColor="text1"/>
                      <w:kern w:val="0"/>
                      <w:shd w:val="clear" w:color="auto" w:fill="FFFF00"/>
                      <w:lang w:eastAsia="pt-BR" w:bidi="ar-SA"/>
                    </w:rPr>
                    <w:t>ITAGUAI</w:t>
                  </w:r>
                  <w:r w:rsidRPr="003672CB">
                    <w:rPr>
                      <w:rFonts w:ascii="Arial" w:eastAsia="Times New Roman" w:hAnsi="Arial" w:cs="Arial"/>
                      <w:bCs/>
                      <w:color w:val="000000" w:themeColor="text1"/>
                      <w:kern w:val="0"/>
                      <w:lang w:eastAsia="pt-BR" w:bidi="ar-SA"/>
                    </w:rPr>
                    <w:t>. DECISÃO QUE INDEFERIU A TUTELA DE URGÊNCIA. DECISÃO QUE SE REFORMA PARA DETE</w:t>
                  </w:r>
                  <w:r w:rsidRPr="003672CB">
                    <w:rPr>
                      <w:rFonts w:ascii="Arial" w:eastAsia="Times New Roman" w:hAnsi="Arial" w:cs="Arial"/>
                      <w:bCs/>
                      <w:color w:val="000000" w:themeColor="text1"/>
                      <w:kern w:val="0"/>
                      <w:lang w:eastAsia="pt-BR" w:bidi="ar-SA"/>
                    </w:rPr>
                    <w:t>R</w:t>
                  </w:r>
                  <w:r w:rsidRPr="003672CB">
                    <w:rPr>
                      <w:rFonts w:ascii="Arial" w:eastAsia="Times New Roman" w:hAnsi="Arial" w:cs="Arial"/>
                      <w:bCs/>
                      <w:color w:val="000000" w:themeColor="text1"/>
                      <w:kern w:val="0"/>
                      <w:lang w:eastAsia="pt-BR" w:bidi="ar-SA"/>
                    </w:rPr>
                    <w:t>MINAR A IMEDIATA ADAPTAÇÃO DA FROTA.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 xml:space="preserve"> 1. Presente o perigo de dano para concessão da presente medida, pois os textos legais supracitados mostram a imp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e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riosa necessidade de se permitir a imediata acessibilidade das pessoas com defic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i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ência ou com 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hd w:val="clear" w:color="auto" w:fill="FFFF00"/>
                      <w:lang w:eastAsia="pt-BR" w:bidi="ar-SA"/>
                    </w:rPr>
                    <w:t>mobilidade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 xml:space="preserve"> reduzidas aos meios de transporte, não há como fechar os olhos para esta grave situação de ofensa à inclusão dos 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lastRenderedPageBreak/>
                    <w:t>deficientes físicos ou com 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hd w:val="clear" w:color="auto" w:fill="FFFF00"/>
                      <w:lang w:eastAsia="pt-BR" w:bidi="ar-SA"/>
                    </w:rPr>
                    <w:t>mobilidade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 reduzida, cabendo ao concessionário do serviço público de tran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s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porte promover todos os atos necessários para permitir o acesso amplo e efetivo de toda a população aos transportes públicos. 2. A Lei nº 13.146/15, que promove a inclusão da pessoa com deficiência, estipula regras relativas à acessibilidade e ao direito ao transporte e à 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shd w:val="clear" w:color="auto" w:fill="FFFF00"/>
                      <w:lang w:eastAsia="pt-BR" w:bidi="ar-SA"/>
                    </w:rPr>
                    <w:t>mobilidade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 que também determina a observância das no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r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 xml:space="preserve">mas já existentes a respeito, até hoje não foi </w:t>
                  </w:r>
                  <w:proofErr w:type="gramStart"/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implementada</w:t>
                  </w:r>
                  <w:proofErr w:type="gramEnd"/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 xml:space="preserve"> pela agravante, razão pela qual merece reforma a decisão de primeiro grau para deferir a antecipação dos efeitos da tutela, determinando que a agravada promova a adaptação completa da frota de ônibus, com a necessária plataforma elevatória para o acesso de deficie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n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tes físicos e pessoas com locomoção reduzida, no prazo máximo seis meses, sob pena de multa diária, no valor de R$ 5.000,00 (cinco mil reais), por veículo sem a adaptação, e por dia de descumprimento, com a designação de pessoal para auxil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i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ar o embarque e o desembarque em quantidade e locais a serem definidos pelo ju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í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zo, sob pena de multa diária no valor de R$ 5.000,00 (cinco mil reais), de forma c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u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mulativa. PROVIMENTO PARCIAL DO RECURSO. (</w:t>
                  </w:r>
                  <w:r w:rsidRPr="003672CB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  <w:t xml:space="preserve">AGRAVO DE INSTRUMENTO </w:t>
                  </w:r>
                  <w:r w:rsidRPr="003672CB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kern w:val="0"/>
                      <w:lang w:eastAsia="pt-BR" w:bidi="ar-SA"/>
                    </w:rPr>
                    <w:t>0042746-77.2020.8.19.0000</w:t>
                  </w:r>
                  <w:r w:rsidRPr="003672CB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  <w:t xml:space="preserve"> - </w:t>
                  </w:r>
                  <w:proofErr w:type="gramStart"/>
                  <w:r w:rsidRPr="003672CB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  <w:t>Des(</w:t>
                  </w:r>
                  <w:proofErr w:type="gramEnd"/>
                  <w:r w:rsidRPr="003672CB">
                    <w:rPr>
                      <w:rFonts w:ascii="Arial" w:eastAsia="Times New Roman" w:hAnsi="Arial" w:cs="Arial"/>
                      <w:color w:val="000000" w:themeColor="text1"/>
                      <w:kern w:val="0"/>
                      <w:lang w:eastAsia="pt-BR" w:bidi="ar-SA"/>
                    </w:rPr>
                    <w:t>a). JOSÉ CARLOS MALDONADO DE CARVALHO - Julgamento: 03/12/2020 - PRIMEIRA CÂMARA CÍVEL.)</w:t>
                  </w:r>
                </w:p>
              </w:tc>
            </w:tr>
          </w:tbl>
          <w:p w:rsidR="009078CA" w:rsidRPr="003672CB" w:rsidRDefault="009078CA" w:rsidP="00F75F3E">
            <w:pPr>
              <w:widowControl/>
              <w:suppressAutoHyphens w:val="0"/>
              <w:ind w:firstLine="709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lang w:eastAsia="pt-BR" w:bidi="ar-SA"/>
              </w:rPr>
            </w:pPr>
          </w:p>
        </w:tc>
      </w:tr>
    </w:tbl>
    <w:p w:rsidR="009078CA" w:rsidRPr="003672CB" w:rsidRDefault="009078CA" w:rsidP="009078CA">
      <w:pPr>
        <w:widowControl/>
        <w:pBdr>
          <w:top w:val="single" w:sz="6" w:space="1" w:color="000000"/>
        </w:pBdr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vanish/>
          <w:color w:val="000000" w:themeColor="text1"/>
          <w:kern w:val="0"/>
          <w:lang w:eastAsia="pt-BR" w:bidi="ar-SA"/>
        </w:rPr>
        <w:lastRenderedPageBreak/>
        <w:t>Parte inferior do formulário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:lang w:eastAsia="pt-BR" w:bidi="ar-SA"/>
        </w:rPr>
        <w:t>Ementa</w:t>
      </w:r>
      <w:proofErr w:type="gramStart"/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:lang w:eastAsia="pt-BR" w:bidi="ar-SA"/>
        </w:rPr>
        <w:t>: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: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AGRAVO DE INSTRUMENTO - AÇÃO CIVIL PÚBLICA - ADMINISTR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TIVO - CONSTITUCIONAL - OMISSÃO DO PODER PÚBLICO - ACESSIBILIDADE - D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FICIENTES FÍSICOS - INADEQUAÇÃO DE PRÉDIO PÚBLICO - INOBSERVÂNCIA DAS NORMAS DA ABNT COMPROVADAS DE PLANO - ATUAÇÃO DO PODER JUDICIÁRIO - POSSIBILIDADE - RECURSO CONHECIDO E NÃO PROVIDO.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br/>
        <w:t>1. Comprovado, de plano, pelo parquet, que o prédio que abriga a Secretaria Municipal de Assistência Social do Município de Governador Valadares possui instalações em des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cordo com as previsões legais e as normas técnicas da ABNT, dificultando o acesso ad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quado aos cidadãos deficientes físicos e àqueles portadores de mobilidade reduzida, e, ademais, demonstrada a desídia do Poder Público em sanar as irregularidades apuradas, mostra-se correta 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decisão que impôs ao Município a obrigação de elaborar o projeto específico de acessibilidade.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br/>
        <w:t>2. Não se vislumbra a ingerência indevida do Poder Judiciário quando provocado face ao descumprimento de normas constitucionais e legais, a fim de garantir o acesso devido aos deficientes físicos em prédio de uso público, em prol de toda a coletividade.  (TJMG -  Agravo de Instrumento-</w:t>
      </w:r>
      <w:proofErr w:type="spell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Cv</w:t>
      </w:r>
      <w:proofErr w:type="spellEnd"/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 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1.0105.11.026299-2/001, Relator(a): Des.(a) Corrêa Junior , 6ª CÂMARA CÍVEL, julgamento em 27/08/2013, publicação da súmula em 06/09/2013)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</w:p>
    <w:p w:rsidR="009078CA" w:rsidRPr="003672CB" w:rsidRDefault="009078CA" w:rsidP="009078CA">
      <w:pPr>
        <w:widowControl/>
        <w:pBdr>
          <w:top w:val="single" w:sz="6" w:space="1" w:color="000000"/>
        </w:pBdr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</w:p>
    <w:p w:rsidR="009078CA" w:rsidRPr="003672CB" w:rsidRDefault="009078CA" w:rsidP="009078CA">
      <w:pPr>
        <w:widowControl/>
        <w:pBdr>
          <w:top w:val="single" w:sz="6" w:space="1" w:color="000000"/>
        </w:pBdr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:lang w:eastAsia="pt-BR" w:bidi="ar-SA"/>
        </w:rPr>
        <w:t>Ementa:</w:t>
      </w:r>
      <w:r w:rsidRPr="003672CB">
        <w:rPr>
          <w:rFonts w:ascii="Arial" w:eastAsia="Times New Roman" w:hAnsi="Arial" w:cs="Arial"/>
          <w:bCs/>
          <w:color w:val="000000" w:themeColor="text1"/>
          <w:kern w:val="0"/>
          <w:shd w:val="clear" w:color="auto" w:fill="FFFFFF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AGRAVO DE INSTRUMENTO - AÇÃO CIVIL PÚBLICA - OBRIGAÇÃO DE FAZER - OBRAS DE ADAPTAÇÃO NECESSÁRIAS A GARANTIR A PROMOÇÃO DE ACESSIBILIDADE ÀS PESSOAS COM DEFICIÊNCIA OU MOBILIDADE REDUZIDA NOS CENTROS DE SAÚDE DE BELO HORIZONTE - INGERÊNCIA DO PODER JUD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CIÁRIO NO ÂMBITO DA ADMINISTRAÇÃO MUNICIPAL - 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NÃO-CONFIGURAÇÃO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- T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U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TELA 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lastRenderedPageBreak/>
        <w:t>ANTECIPADA - ARTIGO 273 DO CPC - VEROSSIMILHANÇA E PERIGO DE D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NO IRREPARÁVEL OU DE DIFÍCIL REPARAÇÃO - AUSÊNCIA DOS REQUISITOS - PERIGO DE IRREVERSIBILIDADE DO PROVIMENTO ANTECIPADO - REFORMA DA DECISÃO RECORRIDA. Não obstante a apreciação do ato discricionário do administr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dor público quanto aos critérios de conveniência e oportunidade seja vedada ao Poder Judiciário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, é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perfeitamente cabível sua análise sob o aspecto de sua legalidade, da exi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s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tência de abuso e da moralidade. A liminar requerida em ação civil pública, com intuito de antecipar a prestação jurisdicional cabível ao final do trâmite processual, representa um pedido de tutela antecipada, não se confundindo com medida cautelar que apenas visa assegurar a efetividade do processo principal. Para compelir a Administração Pública, em sede de tutela antecipada, a realizar, imediatamente, obras de acessibilidade e adequ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ção em edifícios públicos, é imprescindível que seja demonstrado, de plano, que estão presentes todos os requisitos elencados no artigo 273, do CPC, posto que se 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trata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de medida excepcional a ser assumida com redobrada cautela. Não sendo demonstrada a confluência dos requisitos do artigo 273, do CPC (prova inequívoca capaz de levar à v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rossimilhança das alegações e receio de ineficácia do provimento final), incabível a co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cessão da antecipação da tutela de mérito pleiteada. Ademais, estando, desde já, d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monstrado que o risco da irreversibilidade da medida é grande, não se sustenta a antec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pação (artigo 273, §2º, do CPC). Mesmo porque não se presta a antecipação a uma ex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cução antecipada de um provimento de mérito, ainda inexistente.  (TJMG -  Agravo de Instrumento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 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1.0024.07.752676-2/001, Relator(a): Des.(a) Armando Freire , 1ª CÂMARA CÍVEL, julgamento em 06/05/2008, publicação da súmula em 10/06/2008)</w:t>
      </w:r>
    </w:p>
    <w:p w:rsidR="009078CA" w:rsidRPr="003672CB" w:rsidRDefault="009078CA" w:rsidP="009078CA">
      <w:pPr>
        <w:widowControl/>
        <w:pBdr>
          <w:top w:val="single" w:sz="6" w:space="1" w:color="000000"/>
        </w:pBdr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</w:p>
    <w:p w:rsidR="009078CA" w:rsidRPr="003672CB" w:rsidRDefault="009078CA" w:rsidP="009078CA">
      <w:pPr>
        <w:widowControl/>
        <w:pBdr>
          <w:top w:val="single" w:sz="6" w:space="1" w:color="000000"/>
        </w:pBdr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 w:themeColor="text1"/>
          <w:kern w:val="0"/>
          <w:shd w:val="clear" w:color="auto" w:fill="FFFFFF"/>
          <w:lang w:eastAsia="pt-BR" w:bidi="ar-SA"/>
        </w:rPr>
        <w:t>Ementa:</w:t>
      </w:r>
      <w:r w:rsidRPr="003672CB">
        <w:rPr>
          <w:rFonts w:ascii="Arial" w:eastAsia="Times New Roman" w:hAnsi="Arial" w:cs="Arial"/>
          <w:bCs/>
          <w:color w:val="000000" w:themeColor="text1"/>
          <w:kern w:val="0"/>
          <w:shd w:val="clear" w:color="auto" w:fill="FFFFFF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PROCESSUAL CIVIL. OBRIGAÇÕES DE FAZER. PESSOAS COM D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FICIÊNCIA FÍSICA. GARANTIA DO DIREITO DE ACESSO. LEI 7.853/1989. COMIN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ÇÃO DE MULTA DIÁRIA À FAZENDA PÚBLICA. CABIMENTO.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1. Trata-se, na origem, de Ação Civil Pública proposta pelo Ministério Público, a qual visa condenar o Governo Estadual a adaptar escola pública de Ribeirão Preto para atender pessoas com deficiência física. Decidiu o Tribunal de Justiça de São Paulo, de maneira correta, que o fato de não haver, na escola, aluno ou funcionário com deficiência física não afasta o dever estatal de modificá-la.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2. A Lei 7.853/1989 assegura a "efetiva integração social" das pessoas, com ênf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se para "órgãos e entidades da administração direta e indireta", que estão obrigados a "dispensar, no âmbito de sua competência e finalidade, aos assuntos objetos desta Lei, tratamento prioritário e adequado". Os requisitos expressos de efetividade e prioridade, ordenados pelo texto legal, afastam, de pronto, qualquer pretensão da União, dos Estados e Municípios de disporem, nesse campo, de discricionariedade para agir ou descuidar, para sanar erros do passado ou repeti-los no presente ou futuro. O sistema jurídico bras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leiro reconhece autonomia política e liberdade de escolha do Administrador, exceto qua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do o próprio legislador se encarrega de prescrever condutas estatais de envergadura 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transcendente, normalmente associadas à pauta dos direitos fundamentais, ao mínimo existencial e à dignidade da pessoa humana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lastRenderedPageBreak/>
        <w:t>É o caso dos autos.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3. O dever de garantir plena acessibilidade a pessoas com deficiência física a edif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í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cios e espaços públicos, mesmo que de propriedade privada, independe da existência de frequentadores atuais a demandarem atenção, pois não se trata de mandamento legal destinado a beneficiar sujeitos individualizados (com nome e sobrenome, juízo in concr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to), mas de finalidade geral (para o futuro, juízo in </w:t>
      </w:r>
      <w:proofErr w:type="spell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abstracto</w:t>
      </w:r>
      <w:proofErr w:type="spell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). O fato de, na cidade ou bai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ro, outros estabelecimentos assemelhados estarem adaptados tampouco serve de justif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i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cativa para a omissão, indicando, muito ao contrário, viabilidade da modificação compo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tamental e o cuidado que o Judiciário deve </w:t>
      </w:r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ter,</w:t>
      </w:r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de sorte a evitar a formação de "guetos de ilicitude" numa área da convivência humana em que a solidariedade, na falta de espont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neidade do sentimento, precisa ser imposta por lei.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4. É cabível, mesmo contra a Fazenda Pública, a cominação de multa diária (</w:t>
      </w:r>
      <w:proofErr w:type="spell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s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treintes</w:t>
      </w:r>
      <w:proofErr w:type="spell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) como meio executivo para cumprimento de obrigação de fazer (art. 461 do CPC). Precedentes do STJ.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5. Recurso Especial não provido.</w:t>
      </w:r>
    </w:p>
    <w:p w:rsidR="009078CA" w:rsidRPr="003672CB" w:rsidRDefault="009078CA" w:rsidP="009078CA">
      <w:pPr>
        <w:widowControl/>
        <w:suppressAutoHyphens w:val="0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(</w:t>
      </w:r>
      <w:proofErr w:type="spellStart"/>
      <w:proofErr w:type="gram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REsp</w:t>
      </w:r>
      <w:proofErr w:type="spellEnd"/>
      <w:proofErr w:type="gram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1293149/SP, Rel. Ministro HERMAN BENJAMIN, SEGUNDA TURMA, julg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do em 01/03/2012, </w:t>
      </w:r>
      <w:proofErr w:type="spellStart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>DJe</w:t>
      </w:r>
      <w:proofErr w:type="spellEnd"/>
      <w:r w:rsidRPr="003672CB">
        <w:rPr>
          <w:rFonts w:ascii="Arial" w:eastAsia="Times New Roman" w:hAnsi="Arial" w:cs="Arial"/>
          <w:color w:val="000000" w:themeColor="text1"/>
          <w:kern w:val="0"/>
          <w:lang w:eastAsia="pt-BR" w:bidi="ar-SA"/>
        </w:rPr>
        <w:t xml:space="preserve"> 17/11/2016)</w:t>
      </w: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078CA" w:rsidRPr="003672CB" w:rsidRDefault="009078CA" w:rsidP="009078CA">
      <w:pPr>
        <w:pStyle w:val="NormalWeb"/>
        <w:spacing w:after="0"/>
        <w:ind w:firstLine="709"/>
        <w:jc w:val="both"/>
        <w:textAlignment w:val="top"/>
        <w:rPr>
          <w:rFonts w:ascii="Arial" w:hAnsi="Arial" w:cs="Arial"/>
          <w:color w:val="000000" w:themeColor="text1"/>
        </w:rPr>
      </w:pPr>
    </w:p>
    <w:p w:rsidR="00917CFC" w:rsidRDefault="00917CFC"/>
    <w:sectPr w:rsidR="00917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CA"/>
    <w:rsid w:val="008A7BC4"/>
    <w:rsid w:val="009078CA"/>
    <w:rsid w:val="009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A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9078CA"/>
    <w:pPr>
      <w:widowControl/>
      <w:suppressAutoHyphens w:val="0"/>
      <w:spacing w:after="150"/>
    </w:pPr>
    <w:rPr>
      <w:rFonts w:ascii="Times New Roman" w:eastAsia="Times New Roman" w:hAnsi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9078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385260"/>
      <w:kern w:val="0"/>
      <w:sz w:val="17"/>
      <w:szCs w:val="17"/>
      <w:lang w:bidi="ar-SA"/>
    </w:rPr>
  </w:style>
  <w:style w:type="character" w:customStyle="1" w:styleId="Pr-formataoHTMLChar">
    <w:name w:val="Pré-formatação HTML Char"/>
    <w:basedOn w:val="Fontepargpadro"/>
    <w:link w:val="Pr-formataoHTML"/>
    <w:rsid w:val="009078CA"/>
    <w:rPr>
      <w:rFonts w:ascii="Courier New" w:eastAsia="Times New Roman" w:hAnsi="Courier New" w:cs="Courier New"/>
      <w:color w:val="385260"/>
      <w:sz w:val="17"/>
      <w:szCs w:val="1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CA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9078CA"/>
    <w:pPr>
      <w:widowControl/>
      <w:suppressAutoHyphens w:val="0"/>
      <w:spacing w:after="150"/>
    </w:pPr>
    <w:rPr>
      <w:rFonts w:ascii="Times New Roman" w:eastAsia="Times New Roman" w:hAnsi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9078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385260"/>
      <w:kern w:val="0"/>
      <w:sz w:val="17"/>
      <w:szCs w:val="17"/>
      <w:lang w:bidi="ar-SA"/>
    </w:rPr>
  </w:style>
  <w:style w:type="character" w:customStyle="1" w:styleId="Pr-formataoHTMLChar">
    <w:name w:val="Pré-formatação HTML Char"/>
    <w:basedOn w:val="Fontepargpadro"/>
    <w:link w:val="Pr-formataoHTML"/>
    <w:rsid w:val="009078CA"/>
    <w:rPr>
      <w:rFonts w:ascii="Courier New" w:eastAsia="Times New Roman" w:hAnsi="Courier New" w:cs="Courier New"/>
      <w:color w:val="38526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urisprudencia.stf.jus.br/pages/search/sjur388983/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2142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2</cp:revision>
  <dcterms:created xsi:type="dcterms:W3CDTF">2022-08-24T18:13:00Z</dcterms:created>
  <dcterms:modified xsi:type="dcterms:W3CDTF">2022-08-24T18:14:00Z</dcterms:modified>
</cp:coreProperties>
</file>